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4A" w:rsidRPr="00117F39" w:rsidRDefault="003B7D4A" w:rsidP="003B7D4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LETTRE D’INTENTION (LETTER OF INTENTION –LOI)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</w:p>
    <w:p w:rsidR="003B7D4A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999999"/>
        </w:rPr>
      </w:pPr>
    </w:p>
    <w:p w:rsidR="003B7D4A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En quoi consiste la lettre d’intention ? </w:t>
      </w:r>
    </w:p>
    <w:p w:rsidR="003B7D4A" w:rsidRDefault="001F7837" w:rsidP="00B83232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C’est une d</w:t>
      </w:r>
      <w:r w:rsidRPr="001F7837">
        <w:rPr>
          <w:rFonts w:asciiTheme="majorHAnsi" w:hAnsiTheme="majorHAnsi" w:cstheme="majorHAnsi"/>
          <w:bCs/>
        </w:rPr>
        <w:t>éclaration d'intention des parties dans lesquelles elles confirment leur intentio</w:t>
      </w:r>
      <w:r>
        <w:rPr>
          <w:rFonts w:asciiTheme="majorHAnsi" w:hAnsiTheme="majorHAnsi" w:cstheme="majorHAnsi"/>
          <w:bCs/>
        </w:rPr>
        <w:t>n de continuer les négociations.</w:t>
      </w:r>
      <w:r w:rsidRPr="001F7837">
        <w:rPr>
          <w:rFonts w:asciiTheme="majorHAnsi" w:hAnsiTheme="majorHAnsi" w:cstheme="majorHAnsi"/>
          <w:bCs/>
        </w:rPr>
        <w:t xml:space="preserve"> </w:t>
      </w:r>
      <w:r w:rsidR="003B7D4A" w:rsidRPr="0086700A">
        <w:rPr>
          <w:rFonts w:asciiTheme="majorHAnsi" w:hAnsiTheme="majorHAnsi" w:cstheme="majorHAnsi"/>
          <w:bCs/>
        </w:rPr>
        <w:t xml:space="preserve">Ce document reprend généralement les grandes lignes des accords déjà conclus entre cédant et acquéreur, les conditions suspensives et les procédures à suivre. </w:t>
      </w:r>
    </w:p>
    <w:p w:rsidR="003B7D4A" w:rsidRPr="00946D30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</w:rPr>
      </w:pPr>
      <w:r w:rsidRPr="00946D30">
        <w:rPr>
          <w:rFonts w:asciiTheme="majorHAnsi" w:hAnsiTheme="majorHAnsi" w:cstheme="majorHAnsi"/>
          <w:b/>
          <w:bCs/>
          <w:u w:val="single"/>
        </w:rPr>
        <w:t>A quel moment signer cet</w:t>
      </w:r>
      <w:r>
        <w:rPr>
          <w:rFonts w:asciiTheme="majorHAnsi" w:hAnsiTheme="majorHAnsi" w:cstheme="majorHAnsi"/>
          <w:b/>
          <w:bCs/>
          <w:u w:val="single"/>
        </w:rPr>
        <w:t>te lettre ?</w:t>
      </w:r>
      <w:r w:rsidRPr="00946D30">
        <w:rPr>
          <w:rFonts w:asciiTheme="majorHAnsi" w:hAnsiTheme="majorHAnsi" w:cstheme="majorHAnsi"/>
          <w:b/>
          <w:bCs/>
          <w:u w:val="single"/>
        </w:rPr>
        <w:t xml:space="preserve"> </w:t>
      </w:r>
    </w:p>
    <w:p w:rsidR="003B7D4A" w:rsidRPr="00746CAB" w:rsidRDefault="00A1182B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Lorsqu’</w:t>
      </w:r>
      <w:r w:rsidR="009201B9">
        <w:rPr>
          <w:rFonts w:asciiTheme="majorHAnsi" w:hAnsiTheme="majorHAnsi" w:cstheme="majorHAnsi"/>
        </w:rPr>
        <w:t xml:space="preserve">après </w:t>
      </w:r>
      <w:r>
        <w:rPr>
          <w:rFonts w:asciiTheme="majorHAnsi" w:hAnsiTheme="majorHAnsi" w:cstheme="majorHAnsi"/>
        </w:rPr>
        <w:t>une première phase informative, vous vous engagez dans une phase de négociation</w:t>
      </w:r>
      <w:r w:rsidR="00BF0A64">
        <w:rPr>
          <w:rFonts w:asciiTheme="majorHAnsi" w:hAnsiTheme="majorHAnsi" w:cstheme="majorHAnsi"/>
        </w:rPr>
        <w:t xml:space="preserve"> approfondie</w:t>
      </w:r>
      <w:r>
        <w:rPr>
          <w:rFonts w:asciiTheme="majorHAnsi" w:hAnsiTheme="majorHAnsi" w:cstheme="majorHAnsi"/>
        </w:rPr>
        <w:t xml:space="preserve">. </w:t>
      </w:r>
    </w:p>
    <w:p w:rsidR="003B7D4A" w:rsidRPr="00055723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Quel est l’objectif</w:t>
      </w:r>
      <w:r w:rsidRPr="00055723">
        <w:rPr>
          <w:rFonts w:asciiTheme="majorHAnsi" w:hAnsiTheme="majorHAnsi" w:cstheme="majorHAnsi"/>
          <w:b/>
          <w:u w:val="single"/>
        </w:rPr>
        <w:t xml:space="preserve"> de ce </w:t>
      </w:r>
      <w:r>
        <w:rPr>
          <w:rFonts w:asciiTheme="majorHAnsi" w:hAnsiTheme="majorHAnsi" w:cstheme="majorHAnsi"/>
          <w:b/>
          <w:u w:val="single"/>
        </w:rPr>
        <w:t>document</w:t>
      </w:r>
      <w:r w:rsidRPr="00055723">
        <w:rPr>
          <w:rFonts w:asciiTheme="majorHAnsi" w:hAnsiTheme="majorHAnsi" w:cstheme="majorHAnsi"/>
          <w:b/>
          <w:u w:val="single"/>
        </w:rPr>
        <w:t> ?</w:t>
      </w:r>
    </w:p>
    <w:p w:rsidR="00A1182B" w:rsidRDefault="00A1182B" w:rsidP="00A1182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02E01">
        <w:rPr>
          <w:rFonts w:asciiTheme="majorHAnsi" w:hAnsiTheme="majorHAnsi" w:cstheme="majorHAnsi"/>
          <w:sz w:val="22"/>
          <w:szCs w:val="22"/>
        </w:rPr>
        <w:t>S’assurer de la volonté de l’autre partie d’aboutir à un accord.</w:t>
      </w:r>
    </w:p>
    <w:p w:rsidR="00BF0A64" w:rsidRDefault="00BF0A64" w:rsidP="00BF0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02E01">
        <w:rPr>
          <w:rFonts w:asciiTheme="majorHAnsi" w:hAnsiTheme="majorHAnsi" w:cstheme="majorHAnsi"/>
          <w:sz w:val="22"/>
          <w:szCs w:val="22"/>
        </w:rPr>
        <w:t>Fixer les modalités de la négociation.</w:t>
      </w:r>
    </w:p>
    <w:p w:rsidR="0086700A" w:rsidRPr="00A02E01" w:rsidRDefault="0086700A" w:rsidP="0086700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S’assurer </w:t>
      </w:r>
      <w:r w:rsidRPr="00A02E01">
        <w:rPr>
          <w:rFonts w:asciiTheme="majorHAnsi" w:hAnsiTheme="majorHAnsi" w:cstheme="majorHAnsi"/>
          <w:sz w:val="22"/>
          <w:szCs w:val="22"/>
        </w:rPr>
        <w:t>de la confidentialité de</w:t>
      </w:r>
      <w:r>
        <w:rPr>
          <w:rFonts w:asciiTheme="majorHAnsi" w:hAnsiTheme="majorHAnsi" w:cstheme="majorHAnsi"/>
          <w:sz w:val="22"/>
          <w:szCs w:val="22"/>
        </w:rPr>
        <w:t xml:space="preserve"> la négociation</w:t>
      </w:r>
    </w:p>
    <w:p w:rsidR="00BF0A64" w:rsidRPr="00A02E01" w:rsidRDefault="00BF0A64" w:rsidP="00BF0A6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02E01">
        <w:rPr>
          <w:rFonts w:asciiTheme="majorHAnsi" w:hAnsiTheme="majorHAnsi" w:cstheme="majorHAnsi"/>
          <w:sz w:val="22"/>
          <w:szCs w:val="22"/>
        </w:rPr>
        <w:t xml:space="preserve">Eviter </w:t>
      </w:r>
      <w:r w:rsidR="0086700A">
        <w:rPr>
          <w:rFonts w:asciiTheme="majorHAnsi" w:hAnsiTheme="majorHAnsi" w:cstheme="majorHAnsi"/>
          <w:sz w:val="22"/>
          <w:szCs w:val="22"/>
        </w:rPr>
        <w:t>de revenir après cette phase sur certains points déjà considérés comme acquis</w:t>
      </w:r>
    </w:p>
    <w:p w:rsidR="003B7D4A" w:rsidRPr="003B7D4A" w:rsidRDefault="003B7D4A" w:rsidP="003B7D4A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3B7D4A" w:rsidRPr="00946D30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</w:rPr>
      </w:pPr>
      <w:r w:rsidRPr="00946D30">
        <w:rPr>
          <w:rFonts w:asciiTheme="majorHAnsi" w:hAnsiTheme="majorHAnsi" w:cstheme="majorHAnsi"/>
          <w:b/>
          <w:bCs/>
          <w:u w:val="single"/>
        </w:rPr>
        <w:t>Que contient généralement cet engagement ?</w:t>
      </w:r>
    </w:p>
    <w:p w:rsidR="003B7D4A" w:rsidRPr="00220FB4" w:rsidRDefault="00220FB4" w:rsidP="003B7D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3B7D4A" w:rsidRPr="00220FB4">
        <w:t xml:space="preserve">a </w:t>
      </w:r>
      <w:r w:rsidR="006337BF" w:rsidRPr="00220FB4">
        <w:t xml:space="preserve">durée de validité de </w:t>
      </w:r>
      <w:r w:rsidR="003B7D4A" w:rsidRPr="00220FB4">
        <w:t xml:space="preserve">la </w:t>
      </w:r>
      <w:r w:rsidR="006337BF" w:rsidRPr="00220FB4">
        <w:t xml:space="preserve">lettre </w:t>
      </w:r>
      <w:r w:rsidR="003B7D4A" w:rsidRPr="00220FB4">
        <w:t>;</w:t>
      </w:r>
    </w:p>
    <w:p w:rsidR="006337BF" w:rsidRPr="00220FB4" w:rsidRDefault="00220FB4" w:rsidP="003B7D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6337BF" w:rsidRPr="00220FB4">
        <w:t>e prix de cession ou du moins ses modalités de calcul</w:t>
      </w:r>
    </w:p>
    <w:p w:rsidR="003B7D4A" w:rsidRPr="00220FB4" w:rsidRDefault="006337BF" w:rsidP="003B7D4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220FB4">
        <w:t>(</w:t>
      </w:r>
      <w:r w:rsidR="00220FB4">
        <w:t>L</w:t>
      </w:r>
      <w:r w:rsidR="003B7D4A" w:rsidRPr="00220FB4">
        <w:t>a prolongation de</w:t>
      </w:r>
      <w:r w:rsidRPr="00220FB4">
        <w:t>)</w:t>
      </w:r>
      <w:r w:rsidR="00220FB4" w:rsidRPr="00220FB4">
        <w:t xml:space="preserve"> l’accord de confidentialité</w:t>
      </w:r>
    </w:p>
    <w:p w:rsidR="006337BF" w:rsidRPr="00220FB4" w:rsidRDefault="00220FB4" w:rsidP="006D68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U</w:t>
      </w:r>
      <w:r w:rsidR="003B7D4A" w:rsidRPr="00220FB4">
        <w:t xml:space="preserve">ne clause d’exclusivité  </w:t>
      </w:r>
    </w:p>
    <w:p w:rsidR="009201B9" w:rsidRPr="00220FB4" w:rsidRDefault="00220FB4" w:rsidP="006D68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U</w:t>
      </w:r>
      <w:r w:rsidR="003B7D4A" w:rsidRPr="00220FB4">
        <w:t>n calendrier des négociations</w:t>
      </w:r>
    </w:p>
    <w:p w:rsidR="00F1221F" w:rsidRPr="00220FB4" w:rsidRDefault="00220FB4" w:rsidP="006D68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F1221F" w:rsidRPr="00220FB4">
        <w:t>es audits à réaliser et leurs modalités pratiques</w:t>
      </w:r>
    </w:p>
    <w:p w:rsidR="00F1221F" w:rsidRPr="00220FB4" w:rsidRDefault="00220FB4" w:rsidP="006D68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F1221F" w:rsidRPr="00220FB4">
        <w:t>es conditions suspensives (ex : obtention de crédit, obtention de résultat de due diligence, d’autorisations spécifiques,</w:t>
      </w:r>
      <w:r>
        <w:t xml:space="preserve"> </w:t>
      </w:r>
      <w:r w:rsidR="00F1221F" w:rsidRPr="00220FB4">
        <w:t>...)</w:t>
      </w:r>
    </w:p>
    <w:p w:rsidR="00F1221F" w:rsidRDefault="00220FB4" w:rsidP="00F122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F1221F" w:rsidRPr="00220FB4">
        <w:t>es garanties à souscrire par le vendeur au profit de l’acquéreur</w:t>
      </w:r>
    </w:p>
    <w:p w:rsidR="00104037" w:rsidRPr="00220FB4" w:rsidRDefault="00104037" w:rsidP="00F1221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>
        <w:t>…</w:t>
      </w:r>
      <w:bookmarkStart w:id="0" w:name="_GoBack"/>
      <w:bookmarkEnd w:id="0"/>
    </w:p>
    <w:p w:rsidR="003B7D4A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</w:p>
    <w:p w:rsidR="003B7D4A" w:rsidRPr="00946D30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u w:val="single"/>
        </w:rPr>
      </w:pPr>
      <w:r w:rsidRPr="00946D30">
        <w:rPr>
          <w:rFonts w:asciiTheme="majorHAnsi" w:hAnsiTheme="majorHAnsi" w:cstheme="majorHAnsi"/>
          <w:b/>
          <w:u w:val="single"/>
        </w:rPr>
        <w:t>Cet</w:t>
      </w:r>
      <w:r w:rsidR="00220FB4">
        <w:rPr>
          <w:rFonts w:asciiTheme="majorHAnsi" w:hAnsiTheme="majorHAnsi" w:cstheme="majorHAnsi"/>
          <w:b/>
          <w:u w:val="single"/>
        </w:rPr>
        <w:t>te</w:t>
      </w:r>
      <w:r w:rsidRPr="00946D30">
        <w:rPr>
          <w:rFonts w:asciiTheme="majorHAnsi" w:hAnsiTheme="majorHAnsi" w:cstheme="majorHAnsi"/>
          <w:b/>
          <w:u w:val="single"/>
        </w:rPr>
        <w:t xml:space="preserve"> </w:t>
      </w:r>
      <w:r w:rsidR="00220FB4">
        <w:rPr>
          <w:rFonts w:asciiTheme="majorHAnsi" w:hAnsiTheme="majorHAnsi" w:cstheme="majorHAnsi"/>
          <w:b/>
          <w:u w:val="single"/>
        </w:rPr>
        <w:t>lettre d’intention</w:t>
      </w:r>
      <w:r w:rsidRPr="00946D30">
        <w:rPr>
          <w:rFonts w:asciiTheme="majorHAnsi" w:hAnsiTheme="majorHAnsi" w:cstheme="majorHAnsi"/>
          <w:b/>
          <w:u w:val="single"/>
        </w:rPr>
        <w:t xml:space="preserve"> est-</w:t>
      </w:r>
      <w:r w:rsidR="00220FB4">
        <w:rPr>
          <w:rFonts w:asciiTheme="majorHAnsi" w:hAnsiTheme="majorHAnsi" w:cstheme="majorHAnsi"/>
          <w:b/>
          <w:u w:val="single"/>
        </w:rPr>
        <w:t>e</w:t>
      </w:r>
      <w:r w:rsidRPr="00946D30">
        <w:rPr>
          <w:rFonts w:asciiTheme="majorHAnsi" w:hAnsiTheme="majorHAnsi" w:cstheme="majorHAnsi"/>
          <w:b/>
          <w:u w:val="single"/>
        </w:rPr>
        <w:t>l</w:t>
      </w:r>
      <w:r w:rsidR="00220FB4">
        <w:rPr>
          <w:rFonts w:asciiTheme="majorHAnsi" w:hAnsiTheme="majorHAnsi" w:cstheme="majorHAnsi"/>
          <w:b/>
          <w:u w:val="single"/>
        </w:rPr>
        <w:t>le</w:t>
      </w:r>
      <w:r w:rsidRPr="00946D30">
        <w:rPr>
          <w:rFonts w:asciiTheme="majorHAnsi" w:hAnsiTheme="majorHAnsi" w:cstheme="majorHAnsi"/>
          <w:b/>
          <w:u w:val="single"/>
        </w:rPr>
        <w:t xml:space="preserve"> obligatoire ?</w:t>
      </w:r>
    </w:p>
    <w:p w:rsidR="003B7D4A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NON. Mais </w:t>
      </w:r>
      <w:r w:rsidR="00220FB4">
        <w:rPr>
          <w:rFonts w:asciiTheme="majorHAnsi" w:hAnsiTheme="majorHAnsi" w:cstheme="majorHAnsi"/>
        </w:rPr>
        <w:t>elle</w:t>
      </w:r>
      <w:r>
        <w:rPr>
          <w:rFonts w:asciiTheme="majorHAnsi" w:hAnsiTheme="majorHAnsi" w:cstheme="majorHAnsi"/>
        </w:rPr>
        <w:t xml:space="preserve"> est vivement conseillé</w:t>
      </w:r>
      <w:r w:rsidR="00220FB4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.</w:t>
      </w:r>
    </w:p>
    <w:p w:rsidR="003B7D4A" w:rsidRDefault="003B7D4A" w:rsidP="003B7D4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</w:rPr>
      </w:pPr>
    </w:p>
    <w:p w:rsidR="003B7D4A" w:rsidRPr="00E02F02" w:rsidRDefault="003B7D4A" w:rsidP="003B7D4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</w:rPr>
      </w:pPr>
      <w:r w:rsidRPr="00E02F02">
        <w:rPr>
          <w:rFonts w:asciiTheme="majorHAnsi" w:hAnsiTheme="majorHAnsi" w:cstheme="majorHAnsi"/>
          <w:b/>
          <w:bCs/>
          <w:i/>
        </w:rPr>
        <w:t>CONSEIL : N’hésitez pas à recourir aux services d’un spécialiste pour rédiger ce document !</w:t>
      </w:r>
    </w:p>
    <w:p w:rsidR="0010226D" w:rsidRDefault="0010226D"/>
    <w:sectPr w:rsidR="0010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3A" w:rsidRDefault="0075053A" w:rsidP="003B7D4A">
      <w:pPr>
        <w:spacing w:after="0" w:line="240" w:lineRule="auto"/>
      </w:pPr>
      <w:r>
        <w:separator/>
      </w:r>
    </w:p>
  </w:endnote>
  <w:endnote w:type="continuationSeparator" w:id="0">
    <w:p w:rsidR="0075053A" w:rsidRDefault="0075053A" w:rsidP="003B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3A" w:rsidRDefault="0075053A" w:rsidP="003B7D4A">
      <w:pPr>
        <w:spacing w:after="0" w:line="240" w:lineRule="auto"/>
      </w:pPr>
      <w:r>
        <w:separator/>
      </w:r>
    </w:p>
  </w:footnote>
  <w:footnote w:type="continuationSeparator" w:id="0">
    <w:p w:rsidR="0075053A" w:rsidRDefault="0075053A" w:rsidP="003B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043"/>
    <w:multiLevelType w:val="hybridMultilevel"/>
    <w:tmpl w:val="E4786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3B51"/>
    <w:multiLevelType w:val="hybridMultilevel"/>
    <w:tmpl w:val="8196D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27C7E"/>
    <w:multiLevelType w:val="hybridMultilevel"/>
    <w:tmpl w:val="6FA0DDCA"/>
    <w:lvl w:ilvl="0" w:tplc="17325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A02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4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6B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5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8A5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2A6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2A8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2F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0F4D"/>
    <w:multiLevelType w:val="hybridMultilevel"/>
    <w:tmpl w:val="6D025E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2804"/>
    <w:multiLevelType w:val="hybridMultilevel"/>
    <w:tmpl w:val="AB125496"/>
    <w:lvl w:ilvl="0" w:tplc="742E9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A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CF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D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218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04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08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E5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3A2A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51B6"/>
    <w:multiLevelType w:val="hybridMultilevel"/>
    <w:tmpl w:val="04348D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379F"/>
    <w:multiLevelType w:val="hybridMultilevel"/>
    <w:tmpl w:val="2DCC514C"/>
    <w:lvl w:ilvl="0" w:tplc="34388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EE8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E8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7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0D9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E21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8F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6E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23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07763"/>
    <w:multiLevelType w:val="hybridMultilevel"/>
    <w:tmpl w:val="B4D4B6A4"/>
    <w:lvl w:ilvl="0" w:tplc="3612C2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C57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8B4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09F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EC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89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07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49B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0B5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17"/>
    <w:rsid w:val="0010226D"/>
    <w:rsid w:val="00104037"/>
    <w:rsid w:val="00193466"/>
    <w:rsid w:val="001F7837"/>
    <w:rsid w:val="00220FB4"/>
    <w:rsid w:val="003B4882"/>
    <w:rsid w:val="003B7D4A"/>
    <w:rsid w:val="0051581C"/>
    <w:rsid w:val="006337BF"/>
    <w:rsid w:val="0075053A"/>
    <w:rsid w:val="0086700A"/>
    <w:rsid w:val="008A70F5"/>
    <w:rsid w:val="009201B9"/>
    <w:rsid w:val="009E3117"/>
    <w:rsid w:val="00A1182B"/>
    <w:rsid w:val="00B83232"/>
    <w:rsid w:val="00BF0A64"/>
    <w:rsid w:val="00CD5BF8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3C3B"/>
  <w15:chartTrackingRefBased/>
  <w15:docId w15:val="{280B67D9-9FA8-4A39-90E6-BE31082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8A70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D4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B7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5</cp:revision>
  <dcterms:created xsi:type="dcterms:W3CDTF">2020-08-13T15:05:00Z</dcterms:created>
  <dcterms:modified xsi:type="dcterms:W3CDTF">2020-08-14T09:31:00Z</dcterms:modified>
</cp:coreProperties>
</file>