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4" w:rsidRDefault="00781274" w:rsidP="00781274"/>
    <w:p w:rsidR="00781274" w:rsidRPr="007D63CE" w:rsidRDefault="00781274" w:rsidP="00781274">
      <w:pPr>
        <w:spacing w:after="0" w:line="216" w:lineRule="auto"/>
        <w:ind w:left="360"/>
        <w:jc w:val="center"/>
        <w:rPr>
          <w:rFonts w:ascii="Times New Roman" w:eastAsia="Times New Roman" w:hAnsi="Times New Roman" w:cs="Times New Roman"/>
          <w:sz w:val="48"/>
          <w:szCs w:val="24"/>
          <w:lang w:eastAsia="fr-B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530D2" wp14:editId="404EAC06">
                <wp:simplePos x="0" y="0"/>
                <wp:positionH relativeFrom="column">
                  <wp:posOffset>173355</wp:posOffset>
                </wp:positionH>
                <wp:positionV relativeFrom="paragraph">
                  <wp:posOffset>2555972</wp:posOffset>
                </wp:positionV>
                <wp:extent cx="2286000" cy="1055077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1274" w:rsidRPr="00781274" w:rsidRDefault="00781274" w:rsidP="00781274">
                            <w:pPr>
                              <w:spacing w:before="150" w:after="0" w:line="216" w:lineRule="auto"/>
                              <w:rPr>
                                <w:rFonts w:asciiTheme="majorHAnsi" w:eastAsia="+mn-ea" w:hAnsiTheme="majorHAnsi" w:cstheme="majorHAnsi"/>
                                <w:color w:val="373634"/>
                                <w:kern w:val="24"/>
                                <w:sz w:val="40"/>
                                <w:szCs w:val="40"/>
                                <w:lang w:eastAsia="fr-BE"/>
                              </w:rPr>
                            </w:pPr>
                            <w:r w:rsidRPr="00781274">
                              <w:rPr>
                                <w:rFonts w:asciiTheme="majorHAnsi" w:eastAsia="+mn-ea" w:hAnsiTheme="majorHAnsi" w:cstheme="majorHAnsi"/>
                                <w:color w:val="373634"/>
                                <w:kern w:val="24"/>
                                <w:sz w:val="40"/>
                                <w:szCs w:val="40"/>
                                <w:lang w:eastAsia="fr-BE"/>
                              </w:rPr>
                              <w:t xml:space="preserve">Acquisitions d’actifs </w:t>
                            </w:r>
                          </w:p>
                          <w:p w:rsidR="00781274" w:rsidRPr="00781274" w:rsidRDefault="00781274" w:rsidP="00781274">
                            <w:pPr>
                              <w:spacing w:before="150" w:after="0" w:line="216" w:lineRule="auto"/>
                              <w:rPr>
                                <w:rFonts w:asciiTheme="majorHAnsi" w:eastAsia="Times New Roman" w:hAnsiTheme="majorHAnsi" w:cstheme="majorHAnsi"/>
                                <w:sz w:val="24"/>
                                <w:szCs w:val="24"/>
                                <w:lang w:eastAsia="fr-BE"/>
                              </w:rPr>
                            </w:pPr>
                            <w:r w:rsidRPr="00781274">
                              <w:rPr>
                                <w:rFonts w:asciiTheme="majorHAnsi" w:eastAsia="+mn-ea" w:hAnsiTheme="majorHAnsi" w:cstheme="majorHAnsi"/>
                                <w:color w:val="373634"/>
                                <w:kern w:val="24"/>
                                <w:sz w:val="40"/>
                                <w:szCs w:val="40"/>
                                <w:lang w:eastAsia="fr-BE"/>
                              </w:rPr>
                              <w:t>Fonds de commerce</w:t>
                            </w:r>
                          </w:p>
                          <w:p w:rsidR="00781274" w:rsidRDefault="00781274" w:rsidP="0078127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30D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3.65pt;margin-top:201.25pt;width:180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" fillcolor="white [3201]" stroked="f" strokeweight=".5pt">
                <v:textbox>
                  <w:txbxContent>
                    <w:p w:rsidR="00781274" w:rsidRPr="00781274" w:rsidRDefault="00781274" w:rsidP="00781274">
                      <w:pPr>
                        <w:spacing w:before="150" w:after="0" w:line="216" w:lineRule="auto"/>
                        <w:rPr>
                          <w:rFonts w:asciiTheme="majorHAnsi" w:eastAsia="+mn-ea" w:hAnsiTheme="majorHAnsi" w:cstheme="majorHAnsi"/>
                          <w:color w:val="373634"/>
                          <w:kern w:val="24"/>
                          <w:sz w:val="40"/>
                          <w:szCs w:val="40"/>
                          <w:lang w:eastAsia="fr-BE"/>
                        </w:rPr>
                      </w:pPr>
                      <w:r w:rsidRPr="00781274">
                        <w:rPr>
                          <w:rFonts w:asciiTheme="majorHAnsi" w:eastAsia="+mn-ea" w:hAnsiTheme="majorHAnsi" w:cstheme="majorHAnsi"/>
                          <w:color w:val="373634"/>
                          <w:kern w:val="24"/>
                          <w:sz w:val="40"/>
                          <w:szCs w:val="40"/>
                          <w:lang w:eastAsia="fr-BE"/>
                        </w:rPr>
                        <w:t xml:space="preserve">Acquisitions d’actifs </w:t>
                      </w:r>
                    </w:p>
                    <w:p w:rsidR="00781274" w:rsidRPr="00781274" w:rsidRDefault="00781274" w:rsidP="00781274">
                      <w:pPr>
                        <w:spacing w:before="150" w:after="0" w:line="216" w:lineRule="auto"/>
                        <w:rPr>
                          <w:rFonts w:asciiTheme="majorHAnsi" w:eastAsia="Times New Roman" w:hAnsiTheme="majorHAnsi" w:cstheme="majorHAnsi"/>
                          <w:sz w:val="24"/>
                          <w:szCs w:val="24"/>
                          <w:lang w:eastAsia="fr-BE"/>
                        </w:rPr>
                      </w:pPr>
                      <w:r w:rsidRPr="00781274">
                        <w:rPr>
                          <w:rFonts w:asciiTheme="majorHAnsi" w:eastAsia="+mn-ea" w:hAnsiTheme="majorHAnsi" w:cstheme="majorHAnsi"/>
                          <w:color w:val="373634"/>
                          <w:kern w:val="24"/>
                          <w:sz w:val="40"/>
                          <w:szCs w:val="40"/>
                          <w:lang w:eastAsia="fr-BE"/>
                        </w:rPr>
                        <w:t>Fonds de commerce</w:t>
                      </w:r>
                    </w:p>
                    <w:p w:rsidR="00781274" w:rsidRDefault="00781274" w:rsidP="0078127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C92F" wp14:editId="4E6D01F7">
                <wp:simplePos x="0" y="0"/>
                <wp:positionH relativeFrom="column">
                  <wp:posOffset>173355</wp:posOffset>
                </wp:positionH>
                <wp:positionV relativeFrom="paragraph">
                  <wp:posOffset>352034</wp:posOffset>
                </wp:positionV>
                <wp:extent cx="2203938" cy="720969"/>
                <wp:effectExtent l="0" t="0" r="635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938" cy="72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1274" w:rsidRPr="002E49BC" w:rsidRDefault="00781274" w:rsidP="00781274">
                            <w:pPr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2E49BC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  <w:t>Acquisition d’actions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C92F" id="Zone de texte 2" o:spid="_x0000_s1027" type="#_x0000_t202" style="position:absolute;left:0;text-align:left;margin-left:13.65pt;margin-top:27.7pt;width:173.5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" fillcolor="white [3201]" stroked="f" strokeweight=".5pt">
                <v:textbox>
                  <w:txbxContent>
                    <w:p w:rsidR="00781274" w:rsidRPr="002E49BC" w:rsidRDefault="00781274" w:rsidP="00781274">
                      <w:pPr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2E49BC"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  <w:t>Acquisition d’actions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03680A95" wp14:editId="496A9D2B">
            <wp:extent cx="4981575" cy="38100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274" w:rsidRPr="007D63CE" w:rsidRDefault="00781274" w:rsidP="00781274">
      <w:pPr>
        <w:spacing w:after="0" w:line="216" w:lineRule="auto"/>
        <w:ind w:left="360"/>
        <w:jc w:val="right"/>
        <w:rPr>
          <w:rFonts w:ascii="Times New Roman" w:eastAsia="Times New Roman" w:hAnsi="Times New Roman" w:cs="Times New Roman"/>
          <w:sz w:val="48"/>
          <w:szCs w:val="24"/>
          <w:lang w:eastAsia="fr-BE"/>
        </w:rPr>
      </w:pPr>
    </w:p>
    <w:p w:rsidR="00781274" w:rsidRPr="007D63CE" w:rsidRDefault="00781274" w:rsidP="00781274">
      <w:pPr>
        <w:spacing w:after="0" w:line="216" w:lineRule="auto"/>
        <w:contextualSpacing/>
        <w:rPr>
          <w:rFonts w:ascii="Times New Roman" w:eastAsia="Times New Roman" w:hAnsi="Times New Roman" w:cs="Times New Roman"/>
          <w:sz w:val="48"/>
          <w:szCs w:val="24"/>
          <w:lang w:eastAsia="fr-BE"/>
        </w:rPr>
      </w:pPr>
    </w:p>
    <w:p w:rsidR="00781274" w:rsidRDefault="00781274">
      <w:r>
        <w:br w:type="page"/>
      </w:r>
    </w:p>
    <w:tbl>
      <w:tblPr>
        <w:tblStyle w:val="Grilledutableau"/>
        <w:tblW w:w="14742" w:type="dxa"/>
        <w:jc w:val="center"/>
        <w:tblBorders>
          <w:top w:val="single" w:sz="18" w:space="0" w:color="BB8F07"/>
          <w:left w:val="single" w:sz="18" w:space="0" w:color="BB8F07"/>
          <w:bottom w:val="single" w:sz="18" w:space="0" w:color="BB8F07"/>
          <w:right w:val="single" w:sz="18" w:space="0" w:color="BB8F07"/>
          <w:insideV w:val="single" w:sz="18" w:space="0" w:color="BB8F07"/>
        </w:tblBorders>
        <w:tblLook w:val="04A0" w:firstRow="1" w:lastRow="0" w:firstColumn="1" w:lastColumn="0" w:noHBand="0" w:noVBand="1"/>
      </w:tblPr>
      <w:tblGrid>
        <w:gridCol w:w="2221"/>
        <w:gridCol w:w="6193"/>
        <w:gridCol w:w="6328"/>
      </w:tblGrid>
      <w:tr w:rsidR="00015E80" w:rsidRPr="00D62B13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</w:tcPr>
          <w:p w:rsidR="00015E80" w:rsidRPr="00295787" w:rsidRDefault="00015E80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6193" w:type="dxa"/>
            <w:tcBorders>
              <w:top w:val="nil"/>
              <w:left w:val="single" w:sz="18" w:space="0" w:color="FFFFFF" w:themeColor="background1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  <w:vAlign w:val="center"/>
          </w:tcPr>
          <w:p w:rsidR="00015E80" w:rsidRPr="00F7220C" w:rsidRDefault="009D7203" w:rsidP="009D7203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eastAsiaTheme="majorEastAsia" w:hAnsi="Calibri" w:cs="Arial"/>
                <w:b/>
                <w:bCs/>
                <w:color w:val="FFFFFF" w:themeColor="background1"/>
                <w:kern w:val="24"/>
                <w:position w:val="1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ACTIONS</w:t>
            </w:r>
          </w:p>
        </w:tc>
        <w:tc>
          <w:tcPr>
            <w:tcW w:w="6328" w:type="dxa"/>
            <w:tcBorders>
              <w:top w:val="nil"/>
              <w:left w:val="single" w:sz="18" w:space="0" w:color="FFFFFF" w:themeColor="background1"/>
              <w:bottom w:val="single" w:sz="4" w:space="0" w:color="BB8F07"/>
              <w:right w:val="single" w:sz="18" w:space="0" w:color="BB8F07"/>
            </w:tcBorders>
            <w:shd w:val="clear" w:color="auto" w:fill="BB8F07"/>
            <w:vAlign w:val="center"/>
          </w:tcPr>
          <w:p w:rsidR="00015E80" w:rsidRPr="00D62B13" w:rsidRDefault="009D7203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FONDS DE COMMERCE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4" w:space="0" w:color="BB8F07"/>
              <w:bottom w:val="nil"/>
            </w:tcBorders>
          </w:tcPr>
          <w:p w:rsidR="00015E80" w:rsidRPr="00FF0929" w:rsidRDefault="009D7203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CONTINUITE DE L’ENTREPRISE</w:t>
            </w: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9D7203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Continuité maximale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9D7203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En principe, seul les actifs sont cédés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nil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9D7203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Aucune répercussion sur le patrimoine de la société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015E80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EA5D05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9D7203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En principe, aucun impact sur les contrats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4B3397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Difficulté dans le transfert des contrats</w:t>
            </w:r>
          </w:p>
        </w:tc>
      </w:tr>
      <w:tr w:rsidR="00EA5D05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4" w:space="0" w:color="BB8F07"/>
              <w:bottom w:val="nil"/>
            </w:tcBorders>
          </w:tcPr>
          <w:p w:rsidR="00015E80" w:rsidRPr="00FF0929" w:rsidRDefault="009D7203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9D7203">
              <w:rPr>
                <w:rFonts w:asciiTheme="majorHAnsi" w:hAnsiTheme="majorHAnsi"/>
                <w:sz w:val="28"/>
                <w:szCs w:val="28"/>
              </w:rPr>
              <w:t xml:space="preserve">ALÉAS DE </w:t>
            </w:r>
            <w:r w:rsidR="00E70642">
              <w:rPr>
                <w:rFonts w:asciiTheme="majorHAnsi" w:hAnsiTheme="majorHAnsi"/>
                <w:sz w:val="28"/>
                <w:szCs w:val="28"/>
              </w:rPr>
              <w:t>L</w:t>
            </w:r>
            <w:r w:rsidRPr="009D7203">
              <w:rPr>
                <w:rFonts w:asciiTheme="majorHAnsi" w:hAnsiTheme="majorHAnsi"/>
                <w:sz w:val="28"/>
                <w:szCs w:val="28"/>
              </w:rPr>
              <w:t>’ENTREPRISE</w:t>
            </w: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9D7203" w:rsidRPr="009D7203" w:rsidRDefault="009D7203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9D7203">
              <w:rPr>
                <w:rFonts w:asciiTheme="majorHAnsi" w:hAnsiTheme="majorHAnsi"/>
                <w:sz w:val="26"/>
                <w:szCs w:val="26"/>
              </w:rPr>
              <w:t>On achète également le passé de l’entreprise</w:t>
            </w:r>
          </w:p>
          <w:p w:rsidR="00015E80" w:rsidRPr="007D63CE" w:rsidRDefault="00015E80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6E2D2F">
              <w:rPr>
                <w:rFonts w:asciiTheme="majorHAnsi" w:hAnsiTheme="majorHAnsi"/>
                <w:sz w:val="26"/>
                <w:szCs w:val="26"/>
              </w:rPr>
              <w:t xml:space="preserve">L’acheteur ne supporte en principe que les risques liés à l’exploitation </w:t>
            </w:r>
            <w:r w:rsidRPr="007D63CE">
              <w:rPr>
                <w:rFonts w:asciiTheme="majorHAnsi" w:hAnsiTheme="majorHAnsi"/>
                <w:sz w:val="26"/>
                <w:szCs w:val="26"/>
              </w:rPr>
              <w:t xml:space="preserve"> future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EA5D05" w:rsidP="00EA5D05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Risque lié au non-r</w:t>
            </w:r>
            <w:r w:rsidR="009D7203" w:rsidRPr="007D63CE">
              <w:rPr>
                <w:rFonts w:asciiTheme="majorHAnsi" w:hAnsiTheme="majorHAnsi"/>
                <w:sz w:val="26"/>
                <w:szCs w:val="26"/>
              </w:rPr>
              <w:t>espect des obligations en matières fiscale et sociale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015E80" w:rsidP="00E70642">
            <w:pPr>
              <w:pStyle w:val="Paragraphedeliste"/>
              <w:numPr>
                <w:ilvl w:val="0"/>
                <w:numId w:val="1"/>
              </w:numPr>
              <w:ind w:left="170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4" w:space="0" w:color="BB8F07"/>
              <w:bottom w:val="nil"/>
            </w:tcBorders>
          </w:tcPr>
          <w:p w:rsidR="00015E80" w:rsidRPr="00FF0929" w:rsidRDefault="006E2D2F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6E2D2F">
              <w:rPr>
                <w:rFonts w:asciiTheme="majorHAnsi" w:hAnsiTheme="majorHAnsi"/>
                <w:sz w:val="28"/>
                <w:szCs w:val="28"/>
              </w:rPr>
              <w:t>FISCALITÉ DE L’OPÉRATION</w:t>
            </w: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6E2D2F">
              <w:rPr>
                <w:rFonts w:asciiTheme="majorHAnsi" w:hAnsiTheme="majorHAnsi"/>
                <w:sz w:val="26"/>
                <w:szCs w:val="26"/>
              </w:rPr>
              <w:t>Vente d’actions = opération du patrimoine privé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4F7CAA" w:rsidP="004F7CAA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L’entreprise exploitante vend son activité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nil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6E2D2F">
              <w:rPr>
                <w:rFonts w:asciiTheme="majorHAnsi" w:hAnsiTheme="majorHAnsi"/>
                <w:sz w:val="26"/>
                <w:szCs w:val="26"/>
              </w:rPr>
              <w:t>Pas de taxation de la plus</w:t>
            </w:r>
            <w:r w:rsidR="004B3397" w:rsidRPr="007D63CE">
              <w:rPr>
                <w:rFonts w:asciiTheme="majorHAnsi" w:hAnsiTheme="majorHAnsi"/>
                <w:sz w:val="26"/>
                <w:szCs w:val="26"/>
              </w:rPr>
              <w:t>-</w:t>
            </w:r>
            <w:r w:rsidRPr="006E2D2F">
              <w:rPr>
                <w:rFonts w:asciiTheme="majorHAnsi" w:hAnsiTheme="majorHAnsi"/>
                <w:sz w:val="26"/>
                <w:szCs w:val="26"/>
              </w:rPr>
              <w:t>value, sauf exception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7D63CE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Taxation des plus-values réalisées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single" w:sz="4" w:space="0" w:color="BB8F07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Pas de possibilité d’amortissement pour l’acheteur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7D63CE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Possibilité d’amortissement du prix de cession pour les actifs amortissables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4" w:space="0" w:color="BB8F07"/>
              <w:bottom w:val="nil"/>
            </w:tcBorders>
          </w:tcPr>
          <w:p w:rsidR="00015E80" w:rsidRPr="00FF0929" w:rsidRDefault="006E2D2F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6E2D2F">
              <w:rPr>
                <w:rFonts w:asciiTheme="majorHAnsi" w:hAnsiTheme="majorHAnsi"/>
                <w:sz w:val="28"/>
                <w:szCs w:val="28"/>
              </w:rPr>
              <w:t>FINANCEMENT DE L’OPÉRATION</w:t>
            </w: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6E2D2F">
              <w:rPr>
                <w:rFonts w:asciiTheme="majorHAnsi" w:hAnsiTheme="majorHAnsi"/>
                <w:sz w:val="26"/>
                <w:szCs w:val="26"/>
              </w:rPr>
              <w:t xml:space="preserve">Une société ne peut mettre directement ou indirectement ses actifs en garantie de l’acquisition de ses actions (exception : MBO) </w:t>
            </w:r>
            <w:r w:rsidRPr="007D63CE">
              <w:rPr>
                <w:rFonts w:asciiTheme="majorHAnsi" w:hAnsiTheme="majorHAnsi"/>
                <w:sz w:val="26"/>
                <w:szCs w:val="26"/>
              </w:rPr>
              <w:t>Attention: modification législative récente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Possibilité d’offrir en garantie au banquier les actifs achetés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nil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Nécessité pour l’acquéreur de fournir des garanties personnelles au banquier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6E2D2F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Hypothèque sur les biens immobiliers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single" w:sz="18" w:space="0" w:color="BB8F07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7D63CE" w:rsidRDefault="00015E80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7D63CE" w:rsidRDefault="006E2D2F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Gage sur fonds de commerce</w:t>
            </w:r>
          </w:p>
        </w:tc>
      </w:tr>
      <w:tr w:rsidR="002E49BC" w:rsidRPr="00D62B13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18" w:space="0" w:color="BB8F07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</w:tcPr>
          <w:p w:rsidR="002E49BC" w:rsidRPr="00295787" w:rsidRDefault="002E49BC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6193" w:type="dxa"/>
            <w:tcBorders>
              <w:top w:val="single" w:sz="18" w:space="0" w:color="BB8F07"/>
              <w:left w:val="single" w:sz="18" w:space="0" w:color="FFFFFF" w:themeColor="background1"/>
              <w:bottom w:val="single" w:sz="4" w:space="0" w:color="BB8F07"/>
              <w:right w:val="single" w:sz="18" w:space="0" w:color="FFFFFF" w:themeColor="background1"/>
            </w:tcBorders>
            <w:shd w:val="clear" w:color="auto" w:fill="BB8F07"/>
            <w:vAlign w:val="center"/>
          </w:tcPr>
          <w:p w:rsidR="002E49BC" w:rsidRPr="00F7220C" w:rsidRDefault="002E49BC" w:rsidP="002C5CEF">
            <w:pPr>
              <w:pStyle w:val="NormalWeb"/>
              <w:spacing w:before="0" w:beforeAutospacing="0" w:after="0" w:afterAutospacing="0" w:line="216" w:lineRule="auto"/>
              <w:jc w:val="center"/>
              <w:rPr>
                <w:sz w:val="32"/>
                <w:szCs w:val="32"/>
              </w:rPr>
            </w:pPr>
            <w:r>
              <w:rPr>
                <w:rFonts w:ascii="Calibri" w:eastAsiaTheme="majorEastAsia" w:hAnsi="Calibri" w:cs="Arial"/>
                <w:b/>
                <w:bCs/>
                <w:color w:val="FFFFFF" w:themeColor="background1"/>
                <w:kern w:val="24"/>
                <w:position w:val="1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ACTIONS</w:t>
            </w:r>
          </w:p>
        </w:tc>
        <w:tc>
          <w:tcPr>
            <w:tcW w:w="6328" w:type="dxa"/>
            <w:tcBorders>
              <w:top w:val="single" w:sz="18" w:space="0" w:color="BB8F07"/>
              <w:left w:val="single" w:sz="18" w:space="0" w:color="FFFFFF" w:themeColor="background1"/>
              <w:bottom w:val="single" w:sz="4" w:space="0" w:color="BB8F07"/>
              <w:right w:val="single" w:sz="18" w:space="0" w:color="BB8F07"/>
            </w:tcBorders>
            <w:shd w:val="clear" w:color="auto" w:fill="BB8F07"/>
            <w:vAlign w:val="center"/>
          </w:tcPr>
          <w:p w:rsidR="002E49BC" w:rsidRPr="00D62B13" w:rsidRDefault="002E49BC" w:rsidP="002C5CE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FONDS DE COMMERCE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single" w:sz="4" w:space="0" w:color="BB8F07"/>
              <w:bottom w:val="nil"/>
            </w:tcBorders>
          </w:tcPr>
          <w:p w:rsidR="00015E80" w:rsidRPr="00FF0929" w:rsidRDefault="006E2D2F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  <w:r w:rsidRPr="006E2D2F">
              <w:rPr>
                <w:rFonts w:asciiTheme="majorHAnsi" w:hAnsiTheme="majorHAnsi"/>
                <w:sz w:val="28"/>
                <w:szCs w:val="28"/>
              </w:rPr>
              <w:t>ASPECTS FISCAUX</w:t>
            </w: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 xml:space="preserve">En </w:t>
            </w:r>
            <w:r w:rsidRPr="007D63CE">
              <w:rPr>
                <w:rFonts w:asciiTheme="majorHAnsi" w:hAnsiTheme="majorHAnsi"/>
                <w:b/>
                <w:sz w:val="26"/>
                <w:szCs w:val="26"/>
              </w:rPr>
              <w:t>principe</w:t>
            </w:r>
            <w:r w:rsidRPr="007D63CE">
              <w:rPr>
                <w:rFonts w:asciiTheme="majorHAnsi" w:hAnsiTheme="majorHAnsi"/>
                <w:sz w:val="26"/>
                <w:szCs w:val="26"/>
              </w:rPr>
              <w:t xml:space="preserve">, pas de taxation dans le chef du cédant, 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Cession d’un fonds de commerce par une personne physique: taxation impôt sur les revenus 16,5 %, 33 % ou taux progressif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nil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Pas de déductibilité pour l’acheteur, sauf sur les intérêts, et pas d’amortissement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Cession d’un fonds de commerce par une société: taxation au taux de l’impôt des sociétés (sauf si en perte)</w:t>
            </w:r>
          </w:p>
        </w:tc>
      </w:tr>
      <w:tr w:rsidR="00015E80" w:rsidRPr="00FF0929" w:rsidTr="00781274">
        <w:trPr>
          <w:trHeight w:val="560"/>
          <w:tblHeader/>
          <w:jc w:val="center"/>
        </w:trPr>
        <w:tc>
          <w:tcPr>
            <w:tcW w:w="2221" w:type="dxa"/>
            <w:tcBorders>
              <w:top w:val="nil"/>
              <w:bottom w:val="nil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Pas de TVA ni de droit d’enregistrement</w:t>
            </w: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4" w:space="0" w:color="BB8F07"/>
              <w:right w:val="single" w:sz="18" w:space="0" w:color="BB8F07"/>
            </w:tcBorders>
          </w:tcPr>
          <w:p w:rsidR="00015E80" w:rsidRPr="007D63CE" w:rsidRDefault="001E182C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>TVA: article 11 du code TVA</w:t>
            </w:r>
            <w:r w:rsidR="004B3397" w:rsidRPr="007D63CE">
              <w:rPr>
                <w:rFonts w:asciiTheme="majorHAnsi" w:hAnsiTheme="majorHAnsi"/>
                <w:sz w:val="26"/>
                <w:szCs w:val="26"/>
              </w:rPr>
              <w:t xml:space="preserve"> : </w:t>
            </w:r>
            <w:r w:rsidR="00781274">
              <w:rPr>
                <w:rFonts w:asciiTheme="majorHAnsi" w:hAnsiTheme="majorHAnsi"/>
                <w:sz w:val="26"/>
                <w:szCs w:val="26"/>
              </w:rPr>
              <w:t xml:space="preserve">en principe </w:t>
            </w:r>
            <w:r w:rsidR="004B3397" w:rsidRPr="007D63CE">
              <w:rPr>
                <w:rFonts w:asciiTheme="majorHAnsi" w:hAnsiTheme="majorHAnsi"/>
                <w:sz w:val="26"/>
                <w:szCs w:val="26"/>
              </w:rPr>
              <w:t>pas de Tva sur la cession d’une universalité de biens</w:t>
            </w:r>
          </w:p>
        </w:tc>
      </w:tr>
      <w:tr w:rsidR="00015E80" w:rsidRPr="00FF0929" w:rsidTr="00781274">
        <w:trPr>
          <w:trHeight w:hRule="exact" w:val="560"/>
          <w:jc w:val="center"/>
        </w:trPr>
        <w:tc>
          <w:tcPr>
            <w:tcW w:w="2221" w:type="dxa"/>
            <w:tcBorders>
              <w:top w:val="nil"/>
              <w:bottom w:val="single" w:sz="18" w:space="0" w:color="BB8F07"/>
            </w:tcBorders>
          </w:tcPr>
          <w:p w:rsidR="00015E80" w:rsidRPr="00FF0929" w:rsidRDefault="00015E80" w:rsidP="00E70642">
            <w:pPr>
              <w:ind w:left="17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193" w:type="dxa"/>
            <w:tcBorders>
              <w:top w:val="single" w:sz="4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7D63CE" w:rsidRDefault="00015E80" w:rsidP="00E70642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6328" w:type="dxa"/>
            <w:tcBorders>
              <w:top w:val="single" w:sz="4" w:space="0" w:color="BB8F07"/>
              <w:left w:val="single" w:sz="18" w:space="0" w:color="BB8F07"/>
              <w:bottom w:val="single" w:sz="18" w:space="0" w:color="BB8F07"/>
              <w:right w:val="single" w:sz="18" w:space="0" w:color="BB8F07"/>
            </w:tcBorders>
          </w:tcPr>
          <w:p w:rsidR="00015E80" w:rsidRPr="007D63CE" w:rsidRDefault="001E182C" w:rsidP="004B3397">
            <w:pPr>
              <w:ind w:left="170"/>
              <w:rPr>
                <w:rFonts w:asciiTheme="majorHAnsi" w:hAnsiTheme="majorHAnsi"/>
                <w:sz w:val="26"/>
                <w:szCs w:val="26"/>
              </w:rPr>
            </w:pPr>
            <w:r w:rsidRPr="007D63CE">
              <w:rPr>
                <w:rFonts w:asciiTheme="majorHAnsi" w:hAnsiTheme="majorHAnsi"/>
                <w:sz w:val="26"/>
                <w:szCs w:val="26"/>
              </w:rPr>
              <w:t xml:space="preserve">Enregistrement </w:t>
            </w:r>
            <w:r w:rsidR="004B3397" w:rsidRPr="007D63CE">
              <w:rPr>
                <w:rFonts w:asciiTheme="majorHAnsi" w:hAnsiTheme="majorHAnsi"/>
                <w:sz w:val="26"/>
                <w:szCs w:val="26"/>
              </w:rPr>
              <w:t>de l’immobilier</w:t>
            </w:r>
            <w:r w:rsidRPr="007D63CE">
              <w:rPr>
                <w:rFonts w:asciiTheme="majorHAnsi" w:hAnsiTheme="majorHAnsi"/>
                <w:sz w:val="26"/>
                <w:szCs w:val="26"/>
              </w:rPr>
              <w:t xml:space="preserve"> : 12.5%</w:t>
            </w:r>
          </w:p>
        </w:tc>
      </w:tr>
    </w:tbl>
    <w:p w:rsidR="0010226D" w:rsidRDefault="0010226D"/>
    <w:p w:rsidR="00075832" w:rsidRDefault="00075832"/>
    <w:p w:rsidR="00075832" w:rsidRDefault="00075832"/>
    <w:p w:rsidR="00EA5D05" w:rsidRDefault="00EA5D05"/>
    <w:p w:rsidR="00075832" w:rsidRDefault="00075832"/>
    <w:p w:rsidR="00075832" w:rsidRDefault="00075832"/>
    <w:p w:rsidR="001E182C" w:rsidRDefault="001E182C"/>
    <w:tbl>
      <w:tblPr>
        <w:tblW w:w="147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4"/>
        <w:gridCol w:w="6249"/>
        <w:gridCol w:w="6249"/>
      </w:tblGrid>
      <w:tr w:rsidR="004F7CAA" w:rsidRPr="004F7CAA" w:rsidTr="00781274">
        <w:trPr>
          <w:trHeight w:val="1323"/>
        </w:trPr>
        <w:tc>
          <w:tcPr>
            <w:tcW w:w="2244" w:type="dxa"/>
            <w:tcBorders>
              <w:top w:val="single" w:sz="18" w:space="0" w:color="BB8F07"/>
              <w:left w:val="single" w:sz="18" w:space="0" w:color="BB8F07"/>
              <w:bottom w:val="single" w:sz="18" w:space="0" w:color="BB8F07"/>
              <w:right w:val="single" w:sz="18" w:space="0" w:color="FFFFFF" w:themeColor="background1"/>
            </w:tcBorders>
            <w:shd w:val="clear" w:color="auto" w:fill="BB8F0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4F7CAA" w:rsidRDefault="00242F51" w:rsidP="004F7CA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  <w:tc>
          <w:tcPr>
            <w:tcW w:w="6249" w:type="dxa"/>
            <w:tcBorders>
              <w:top w:val="single" w:sz="18" w:space="0" w:color="BB8F07"/>
              <w:left w:val="single" w:sz="18" w:space="0" w:color="FFFFFF" w:themeColor="background1"/>
              <w:bottom w:val="single" w:sz="18" w:space="0" w:color="BB8F07"/>
              <w:right w:val="single" w:sz="18" w:space="0" w:color="FFFFFF" w:themeColor="background1"/>
            </w:tcBorders>
            <w:shd w:val="clear" w:color="auto" w:fill="BB8F0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F51" w:rsidRPr="004F7CAA" w:rsidRDefault="00242F51" w:rsidP="004F7CA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4F7CAA"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ACTIONS</w:t>
            </w:r>
          </w:p>
        </w:tc>
        <w:tc>
          <w:tcPr>
            <w:tcW w:w="6249" w:type="dxa"/>
            <w:tcBorders>
              <w:top w:val="single" w:sz="18" w:space="0" w:color="BB8F07"/>
              <w:left w:val="single" w:sz="18" w:space="0" w:color="FFFFFF" w:themeColor="background1"/>
              <w:bottom w:val="single" w:sz="18" w:space="0" w:color="BB8F07"/>
              <w:right w:val="single" w:sz="18" w:space="0" w:color="BB8F07"/>
            </w:tcBorders>
            <w:shd w:val="clear" w:color="auto" w:fill="BB8F0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42F51" w:rsidRPr="004F7CAA" w:rsidRDefault="00242F51" w:rsidP="00242F5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>
              <w:rPr>
                <w:rFonts w:ascii="Calibri" w:hAnsi="Calibri" w:cs="Calibri"/>
                <w:b/>
                <w:color w:val="FFFFFF" w:themeColor="background1"/>
                <w:kern w:val="24"/>
                <w:sz w:val="72"/>
                <w:szCs w:val="7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FONDS DE COMMERCE</w:t>
            </w:r>
          </w:p>
        </w:tc>
      </w:tr>
      <w:tr w:rsidR="00EA5D05" w:rsidRPr="001E182C" w:rsidTr="00781274">
        <w:trPr>
          <w:trHeight w:val="1323"/>
        </w:trPr>
        <w:tc>
          <w:tcPr>
            <w:tcW w:w="2244" w:type="dxa"/>
            <w:tcBorders>
              <w:top w:val="single" w:sz="18" w:space="0" w:color="BB8F07"/>
              <w:left w:val="single" w:sz="18" w:space="0" w:color="BB8F07"/>
              <w:bottom w:val="single" w:sz="2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2E49BC" w:rsidRDefault="00242F51" w:rsidP="00242F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E49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AVANTAGES</w:t>
            </w:r>
          </w:p>
        </w:tc>
        <w:tc>
          <w:tcPr>
            <w:tcW w:w="6249" w:type="dxa"/>
            <w:tcBorders>
              <w:top w:val="single" w:sz="18" w:space="0" w:color="BB8F07"/>
              <w:left w:val="single" w:sz="18" w:space="0" w:color="BB8F07"/>
              <w:bottom w:val="single" w:sz="2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781274" w:rsidRDefault="00242F51" w:rsidP="00242F5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Acquisition du contrôle</w:t>
            </w:r>
          </w:p>
          <w:p w:rsidR="00242F51" w:rsidRPr="00781274" w:rsidRDefault="00242F51" w:rsidP="00242F5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Continuité des contrats</w:t>
            </w:r>
          </w:p>
          <w:p w:rsidR="00242F51" w:rsidRPr="00781274" w:rsidRDefault="00242F51" w:rsidP="004F7CAA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Exonération des plus- values sur actions</w:t>
            </w:r>
          </w:p>
        </w:tc>
        <w:tc>
          <w:tcPr>
            <w:tcW w:w="6249" w:type="dxa"/>
            <w:tcBorders>
              <w:top w:val="single" w:sz="18" w:space="0" w:color="BB8F07"/>
              <w:left w:val="single" w:sz="18" w:space="0" w:color="BB8F07"/>
              <w:bottom w:val="single" w:sz="2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781274" w:rsidRDefault="00242F51" w:rsidP="00242F5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Possibilité de choisir les actifs</w:t>
            </w:r>
          </w:p>
          <w:p w:rsidR="00242F51" w:rsidRPr="00781274" w:rsidRDefault="00242F51" w:rsidP="00710E43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Exclusion des dettes</w:t>
            </w:r>
            <w:r w:rsidR="00710E43"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(Pas de garantie de passif à donner</w:t>
            </w:r>
          </w:p>
          <w:p w:rsidR="00242F51" w:rsidRPr="00781274" w:rsidRDefault="00242F51" w:rsidP="00242F5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Possibilité d’offrir des actifs en sûreté</w:t>
            </w:r>
          </w:p>
          <w:p w:rsidR="004F7CAA" w:rsidRPr="00781274" w:rsidRDefault="00242F51" w:rsidP="004F7CAA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Risques moindres </w:t>
            </w:r>
          </w:p>
          <w:p w:rsidR="00710E43" w:rsidRPr="00781274" w:rsidRDefault="00242F51" w:rsidP="00710E43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Amortissement des actifs</w:t>
            </w:r>
          </w:p>
        </w:tc>
      </w:tr>
      <w:tr w:rsidR="00EA5D05" w:rsidRPr="001E182C" w:rsidTr="00781274">
        <w:trPr>
          <w:trHeight w:val="1323"/>
        </w:trPr>
        <w:tc>
          <w:tcPr>
            <w:tcW w:w="2244" w:type="dxa"/>
            <w:tcBorders>
              <w:top w:val="single" w:sz="2" w:space="0" w:color="BB8F07"/>
              <w:left w:val="single" w:sz="18" w:space="0" w:color="BB8F07"/>
              <w:bottom w:val="single" w:sz="18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2E49BC" w:rsidRDefault="00242F51" w:rsidP="00242F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E49B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INCONVENIENTS</w:t>
            </w:r>
          </w:p>
        </w:tc>
        <w:tc>
          <w:tcPr>
            <w:tcW w:w="6249" w:type="dxa"/>
            <w:tcBorders>
              <w:top w:val="single" w:sz="2" w:space="0" w:color="BB8F07"/>
              <w:left w:val="single" w:sz="18" w:space="0" w:color="BB8F07"/>
              <w:bottom w:val="single" w:sz="18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Reprise des dettes</w:t>
            </w:r>
          </w:p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Reprise des risques</w:t>
            </w:r>
          </w:p>
        </w:tc>
        <w:tc>
          <w:tcPr>
            <w:tcW w:w="6249" w:type="dxa"/>
            <w:tcBorders>
              <w:top w:val="single" w:sz="2" w:space="0" w:color="BB8F07"/>
              <w:left w:val="single" w:sz="18" w:space="0" w:color="BB8F07"/>
              <w:bottom w:val="single" w:sz="18" w:space="0" w:color="BB8F07"/>
              <w:right w:val="single" w:sz="18" w:space="0" w:color="BB8F0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Transfert des actifs plus difficile</w:t>
            </w:r>
          </w:p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4F7CAA"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Reprise du p</w:t>
            </w: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ersonnel (Cc. 32 bis)</w:t>
            </w:r>
          </w:p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Taxation des plus-values sur actifs</w:t>
            </w:r>
          </w:p>
          <w:p w:rsidR="00242F51" w:rsidRPr="00781274" w:rsidRDefault="00242F51" w:rsidP="00242F51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Droits d’enregistrement si transfert d’immeuble</w:t>
            </w:r>
          </w:p>
          <w:p w:rsidR="00710E43" w:rsidRPr="00781274" w:rsidRDefault="00710E43" w:rsidP="00710E43">
            <w:pPr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81274">
              <w:rPr>
                <w:rFonts w:asciiTheme="majorHAnsi" w:hAnsiTheme="majorHAnsi" w:cstheme="majorHAnsi"/>
                <w:sz w:val="28"/>
                <w:szCs w:val="28"/>
              </w:rPr>
              <w:t>Nécessité de procéder soi-même au remboursement des emprunts, soldes des comptes clients et fournisseurs, clôture des comptes bancaires et sociaux.</w:t>
            </w:r>
          </w:p>
        </w:tc>
      </w:tr>
    </w:tbl>
    <w:p w:rsidR="007D63CE" w:rsidRDefault="007D63CE"/>
    <w:sectPr w:rsidR="007D63CE" w:rsidSect="007D63C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158"/>
    <w:multiLevelType w:val="hybridMultilevel"/>
    <w:tmpl w:val="87E4C020"/>
    <w:lvl w:ilvl="0" w:tplc="3C722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A4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6C8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09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A2F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966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A91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0CC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C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955"/>
    <w:multiLevelType w:val="hybridMultilevel"/>
    <w:tmpl w:val="7722B058"/>
    <w:lvl w:ilvl="0" w:tplc="9B580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2D7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7061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63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7B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7C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4B4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D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EF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2BD9"/>
    <w:multiLevelType w:val="hybridMultilevel"/>
    <w:tmpl w:val="A6D48DC4"/>
    <w:lvl w:ilvl="0" w:tplc="1A08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A1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0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0A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6A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8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05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88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E8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B4648E"/>
    <w:multiLevelType w:val="hybridMultilevel"/>
    <w:tmpl w:val="E0CEBEAC"/>
    <w:lvl w:ilvl="0" w:tplc="53EE5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8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A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40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0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E8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C6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D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CC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0B769B"/>
    <w:multiLevelType w:val="hybridMultilevel"/>
    <w:tmpl w:val="D710FE54"/>
    <w:lvl w:ilvl="0" w:tplc="ACAA8B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80"/>
    <w:rsid w:val="00015E80"/>
    <w:rsid w:val="00075832"/>
    <w:rsid w:val="0010226D"/>
    <w:rsid w:val="001E182C"/>
    <w:rsid w:val="00242F51"/>
    <w:rsid w:val="002E49BC"/>
    <w:rsid w:val="0036463A"/>
    <w:rsid w:val="00365F27"/>
    <w:rsid w:val="004B3397"/>
    <w:rsid w:val="004F7CAA"/>
    <w:rsid w:val="006E2D2F"/>
    <w:rsid w:val="00710E43"/>
    <w:rsid w:val="00781274"/>
    <w:rsid w:val="007D63CE"/>
    <w:rsid w:val="009D7203"/>
    <w:rsid w:val="00E70642"/>
    <w:rsid w:val="00EA5D0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274F"/>
  <w15:chartTrackingRefBased/>
  <w15:docId w15:val="{E53A4384-1F59-40CB-B5A4-6043AAF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80"/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E8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5E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0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33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87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93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31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4</cp:revision>
  <dcterms:created xsi:type="dcterms:W3CDTF">2020-08-13T13:35:00Z</dcterms:created>
  <dcterms:modified xsi:type="dcterms:W3CDTF">2020-08-14T07:01:00Z</dcterms:modified>
</cp:coreProperties>
</file>